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13"/>
        <w:jc w:val="center"/>
        <w:spacing w:line="240" w:lineRule="exact"/>
        <w:rPr>
          <w:b w:val="0"/>
          <w:bCs w:val="0"/>
        </w:rPr>
      </w:pPr>
      <w:r>
        <w:rPr>
          <w:b w:val="0"/>
          <w:bCs w:val="0"/>
        </w:rPr>
        <w:t xml:space="preserve">ОТЧЕТ</w:t>
      </w:r>
      <w:r>
        <w:rPr>
          <w:b w:val="0"/>
          <w:bCs w:val="0"/>
        </w:rPr>
      </w:r>
      <w:r/>
    </w:p>
    <w:p>
      <w:pPr>
        <w:pStyle w:val="812"/>
        <w:spacing w:line="240" w:lineRule="exact"/>
      </w:pPr>
      <w:r/>
      <w:r/>
    </w:p>
    <w:p>
      <w:pPr>
        <w:pStyle w:val="812"/>
        <w:jc w:val="center"/>
        <w:spacing w:line="240" w:lineRule="exact"/>
        <w:rPr>
          <w:sz w:val="28"/>
        </w:rPr>
      </w:pPr>
      <w:r>
        <w:rPr>
          <w:sz w:val="28"/>
        </w:rPr>
        <w:t xml:space="preserve">о состоянии государственного долга</w:t>
      </w:r>
      <w:r>
        <w:rPr>
          <w:sz w:val="28"/>
        </w:rPr>
      </w:r>
      <w:r/>
    </w:p>
    <w:p>
      <w:pPr>
        <w:pStyle w:val="814"/>
        <w:spacing w:line="240" w:lineRule="exact"/>
        <w:rPr>
          <w:b w:val="0"/>
          <w:bCs w:val="0"/>
        </w:rPr>
      </w:pPr>
      <w:r>
        <w:rPr>
          <w:b w:val="0"/>
          <w:bCs w:val="0"/>
        </w:rPr>
        <w:t xml:space="preserve">Ставропольского края </w:t>
      </w:r>
      <w:r>
        <w:rPr>
          <w:b w:val="0"/>
          <w:bCs w:val="0"/>
        </w:rPr>
        <w:t xml:space="preserve">на первый и последний дни</w:t>
      </w:r>
      <w:r>
        <w:rPr>
          <w:b w:val="0"/>
          <w:bCs w:val="0"/>
        </w:rPr>
        <w:t xml:space="preserve"> 2025</w:t>
      </w:r>
      <w:r>
        <w:rPr>
          <w:b w:val="0"/>
          <w:bCs w:val="0"/>
        </w:rPr>
        <w:t xml:space="preserve"> года</w:t>
      </w:r>
      <w:r>
        <w:rPr>
          <w:b w:val="0"/>
          <w:bCs w:val="0"/>
        </w:rPr>
      </w:r>
      <w:r/>
    </w:p>
    <w:p>
      <w:pPr>
        <w:pStyle w:val="812"/>
      </w:pPr>
      <w:r/>
      <w:r/>
    </w:p>
    <w:p>
      <w:pPr>
        <w:pStyle w:val="812"/>
        <w:jc w:val="right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 xml:space="preserve">(тыс</w:t>
      </w:r>
      <w:r>
        <w:rPr>
          <w:sz w:val="28"/>
        </w:rPr>
        <w:t xml:space="preserve">. рублей)</w:t>
      </w:r>
      <w:r>
        <w:rPr>
          <w:sz w:val="28"/>
        </w:rPr>
      </w:r>
      <w:r/>
    </w:p>
    <w:tbl>
      <w:tblPr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676"/>
        <w:gridCol w:w="2409"/>
        <w:gridCol w:w="2409"/>
      </w:tblGrid>
      <w:tr>
        <w:trPr>
          <w:trHeight w:val="6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676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rPr>
                <w14:ligatures w14:val="none"/>
              </w:rPr>
              <w:suppressLineNumbers w:val="0"/>
            </w:pPr>
            <w:r>
              <w:rPr>
                <w:sz w:val="28"/>
                <w:szCs w:val="28"/>
              </w:rPr>
              <w:t xml:space="preserve">Наименование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rPr>
                <w:szCs w:val="28"/>
                <w14:ligatures w14:val="none"/>
              </w:rPr>
              <w:suppressLineNumbers w:val="0"/>
            </w:pPr>
            <w:r>
              <w:rPr>
                <w:sz w:val="28"/>
                <w:szCs w:val="28"/>
              </w:rPr>
              <w:t xml:space="preserve">Величина г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сударственн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го</w:t>
            </w:r>
            <w:r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 xml:space="preserve">л</w:t>
            </w:r>
            <w:r>
              <w:rPr>
                <w:sz w:val="28"/>
                <w:szCs w:val="28"/>
              </w:rPr>
              <w:t xml:space="preserve">га на</w:t>
            </w:r>
            <w:r>
              <w:rPr>
                <w:sz w:val="28"/>
                <w:szCs w:val="28"/>
              </w:rPr>
            </w:r>
            <w:r/>
          </w:p>
          <w:p>
            <w:pPr>
              <w:contextualSpacing w:val="0"/>
              <w:jc w:val="center"/>
              <w:rPr>
                <w14:ligatures w14:val="none"/>
              </w:rPr>
              <w:suppressLineNumbers w:val="0"/>
            </w:pPr>
            <w:r>
              <w:rPr>
                <w:sz w:val="28"/>
                <w:szCs w:val="28"/>
              </w:rPr>
              <w:t xml:space="preserve">1 января 2025</w:t>
            </w:r>
            <w:r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409" w:type="dxa"/>
            <w:vAlign w:val="top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rPr>
                <w:szCs w:val="28"/>
                <w14:ligatures w14:val="none"/>
              </w:rPr>
              <w:suppressLineNumbers w:val="0"/>
            </w:pPr>
            <w:r>
              <w:rPr>
                <w:sz w:val="28"/>
                <w:szCs w:val="28"/>
              </w:rPr>
              <w:t xml:space="preserve">Величина гос</w:t>
            </w:r>
            <w:r>
              <w:rPr>
                <w:sz w:val="28"/>
                <w:szCs w:val="28"/>
              </w:rPr>
              <w:t xml:space="preserve">у</w:t>
            </w:r>
            <w:r>
              <w:rPr>
                <w:sz w:val="28"/>
                <w:szCs w:val="28"/>
              </w:rPr>
              <w:t xml:space="preserve">дарственн</w:t>
            </w: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го</w:t>
            </w:r>
            <w:r>
              <w:rPr>
                <w:sz w:val="28"/>
                <w:szCs w:val="28"/>
              </w:rPr>
              <w:t xml:space="preserve"> до</w:t>
            </w:r>
            <w:r>
              <w:rPr>
                <w:sz w:val="28"/>
                <w:szCs w:val="28"/>
              </w:rPr>
              <w:t xml:space="preserve">л</w:t>
            </w:r>
            <w:r>
              <w:rPr>
                <w:sz w:val="28"/>
                <w:szCs w:val="28"/>
              </w:rPr>
              <w:t xml:space="preserve">га на</w:t>
            </w:r>
            <w:r>
              <w:rPr>
                <w:sz w:val="28"/>
                <w:szCs w:val="28"/>
              </w:rPr>
            </w:r>
            <w:r/>
          </w:p>
          <w:p>
            <w:pPr>
              <w:contextualSpacing w:val="0"/>
              <w:jc w:val="center"/>
              <w:rPr>
                <w14:ligatures w14:val="none"/>
              </w:rPr>
              <w:suppressLineNumbers w:val="0"/>
            </w:pPr>
            <w:r>
              <w:rPr>
                <w:sz w:val="28"/>
                <w:szCs w:val="28"/>
              </w:rPr>
              <w:t xml:space="preserve">31 декабря</w:t>
            </w:r>
            <w:r>
              <w:rPr>
                <w:sz w:val="28"/>
                <w:szCs w:val="28"/>
              </w:rPr>
              <w:t xml:space="preserve"> 2025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г.</w:t>
            </w: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625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6" w:type="dxa"/>
            <w:vAlign w:val="top"/>
            <w:textDirection w:val="lrTb"/>
            <w:noWrap w:val="false"/>
          </w:tcPr>
          <w:p>
            <w:pPr>
              <w:pStyle w:val="812"/>
              <w:jc w:val="both"/>
              <w:rPr>
                <w:sz w:val="28"/>
              </w:rPr>
            </w:pPr>
            <w:r>
              <w:rPr>
                <w:sz w:val="28"/>
              </w:rPr>
              <w:t xml:space="preserve">Государственные облиг</w:t>
            </w:r>
            <w:r>
              <w:rPr>
                <w:sz w:val="28"/>
              </w:rPr>
              <w:t xml:space="preserve">ации</w:t>
            </w:r>
            <w:r>
              <w:rPr>
                <w:sz w:val="28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3 500 000</w:t>
            </w:r>
            <w:r>
              <w:rPr>
                <w:sz w:val="28"/>
              </w:rPr>
              <w:t xml:space="preserve">,00</w:t>
            </w:r>
            <w:r>
              <w:rPr>
                <w:sz w:val="28"/>
              </w:rPr>
            </w:r>
            <w:r/>
          </w:p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  <w:r/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1 750 000,00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12"/>
              <w:jc w:val="right"/>
              <w:rPr>
                <w:sz w:val="28"/>
                <w:szCs w:val="28"/>
              </w:rPr>
            </w:pPr>
            <w:r>
              <w:rPr>
                <w:sz w:val="28"/>
              </w:rPr>
            </w: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58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6" w:type="dxa"/>
            <w:vAlign w:val="top"/>
            <w:textDirection w:val="lrTb"/>
            <w:noWrap w:val="false"/>
          </w:tcPr>
          <w:p>
            <w:pPr>
              <w:pStyle w:val="818"/>
              <w:spacing w:line="240" w:lineRule="auto"/>
            </w:pPr>
            <w:r>
              <w:t xml:space="preserve">Банковские кредиты 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0,00</w:t>
            </w:r>
            <w:r>
              <w:rPr>
                <w:sz w:val="28"/>
              </w:rPr>
            </w:r>
            <w:r/>
          </w:p>
          <w:p>
            <w:pPr>
              <w:pStyle w:val="8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0,00</w:t>
            </w:r>
            <w:r>
              <w:rPr>
                <w:sz w:val="28"/>
                <w:szCs w:val="28"/>
              </w:rPr>
            </w:r>
            <w:r/>
          </w:p>
          <w:p>
            <w:pPr>
              <w:pStyle w:val="812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/>
          </w:p>
        </w:tc>
      </w:tr>
      <w:tr>
        <w:trPr>
          <w:trHeight w:val="90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6" w:type="dxa"/>
            <w:vAlign w:val="top"/>
            <w:textDirection w:val="lrTb"/>
            <w:noWrap w:val="false"/>
          </w:tcPr>
          <w:p>
            <w:pPr>
              <w:pStyle w:val="818"/>
              <w:spacing w:line="240" w:lineRule="auto"/>
            </w:pPr>
            <w:r>
              <w:t xml:space="preserve">Бюджетные кредиты </w:t>
            </w:r>
            <w:r>
              <w:t xml:space="preserve">из </w:t>
            </w:r>
            <w:r>
              <w:t xml:space="preserve">фе</w:t>
            </w:r>
            <w:r>
              <w:t xml:space="preserve">дерального бюджета</w:t>
            </w:r>
            <w:r/>
          </w:p>
          <w:p>
            <w:pPr>
              <w:pStyle w:val="818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22 741 536,28</w:t>
            </w:r>
            <w:r>
              <w:rPr>
                <w:sz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10 942 892,36</w:t>
            </w:r>
            <w:r>
              <w:rPr>
                <w:sz w:val="28"/>
              </w:rPr>
            </w:r>
            <w:r/>
          </w:p>
        </w:tc>
      </w:tr>
      <w:tr>
        <w:trPr>
          <w:trHeight w:val="575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6" w:type="dxa"/>
            <w:vAlign w:val="top"/>
            <w:textDirection w:val="lrTb"/>
            <w:noWrap w:val="false"/>
          </w:tcPr>
          <w:p>
            <w:pPr>
              <w:pStyle w:val="818"/>
              <w:spacing w:line="240" w:lineRule="auto"/>
            </w:pPr>
            <w:r>
              <w:t xml:space="preserve">Государственные гарантии</w:t>
            </w:r>
            <w:r/>
          </w:p>
          <w:p>
            <w:pPr>
              <w:pStyle w:val="818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0,00</w:t>
            </w:r>
            <w:r>
              <w:rPr>
                <w:sz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0,00</w:t>
            </w:r>
            <w:r>
              <w:rPr>
                <w:sz w:val="28"/>
              </w:rPr>
            </w:r>
            <w:r/>
          </w:p>
        </w:tc>
      </w:tr>
      <w:tr>
        <w:trPr>
          <w:trHeight w:val="334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6" w:type="dxa"/>
            <w:vAlign w:val="top"/>
            <w:textDirection w:val="lrTb"/>
            <w:noWrap w:val="false"/>
          </w:tcPr>
          <w:p>
            <w:pPr>
              <w:pStyle w:val="818"/>
              <w:spacing w:line="240" w:lineRule="auto"/>
            </w:pPr>
            <w:r>
              <w:t xml:space="preserve">Итого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jc w:val="right"/>
              <w:rPr>
                <w:sz w:val="28"/>
              </w:rPr>
            </w:pPr>
            <w:r>
              <w:rPr>
                <w:sz w:val="28"/>
              </w:rPr>
              <w:t xml:space="preserve">26 241 536,28</w:t>
            </w:r>
            <w:r>
              <w:rPr>
                <w:sz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9" w:type="dxa"/>
            <w:vAlign w:val="top"/>
            <w:textDirection w:val="lrTb"/>
            <w:noWrap w:val="false"/>
          </w:tcPr>
          <w:p>
            <w:pPr>
              <w:pStyle w:val="812"/>
              <w:ind w:right="-250"/>
              <w:jc w:val="right"/>
              <w:rPr>
                <w:sz w:val="28"/>
              </w:rPr>
            </w:pPr>
            <w:r>
              <w:rPr>
                <w:sz w:val="28"/>
              </w:rPr>
              <w:t xml:space="preserve">12 692 892,360</w:t>
            </w:r>
            <w:r>
              <w:rPr>
                <w:sz w:val="28"/>
              </w:rPr>
            </w:r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1418" w:right="567" w:bottom="794" w:left="1985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2"/>
    <w:next w:val="812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2"/>
    <w:next w:val="812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2"/>
    <w:next w:val="812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2"/>
    <w:next w:val="812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2"/>
    <w:next w:val="812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2"/>
    <w:next w:val="812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2"/>
    <w:next w:val="812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2"/>
    <w:next w:val="812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2"/>
    <w:next w:val="812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2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2"/>
    <w:next w:val="812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link w:val="654"/>
    <w:uiPriority w:val="10"/>
    <w:rPr>
      <w:sz w:val="48"/>
      <w:szCs w:val="48"/>
    </w:rPr>
  </w:style>
  <w:style w:type="paragraph" w:styleId="656">
    <w:name w:val="Subtitle"/>
    <w:basedOn w:val="812"/>
    <w:next w:val="812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link w:val="656"/>
    <w:uiPriority w:val="11"/>
    <w:rPr>
      <w:sz w:val="24"/>
      <w:szCs w:val="24"/>
    </w:rPr>
  </w:style>
  <w:style w:type="paragraph" w:styleId="658">
    <w:name w:val="Quote"/>
    <w:basedOn w:val="812"/>
    <w:next w:val="812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2"/>
    <w:next w:val="812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2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link w:val="662"/>
    <w:uiPriority w:val="99"/>
  </w:style>
  <w:style w:type="paragraph" w:styleId="664">
    <w:name w:val="Footer"/>
    <w:basedOn w:val="812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link w:val="664"/>
    <w:uiPriority w:val="99"/>
  </w:style>
  <w:style w:type="paragraph" w:styleId="666">
    <w:name w:val="Caption"/>
    <w:basedOn w:val="812"/>
    <w:next w:val="81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0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1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6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7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9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4">
    <w:name w:val="Hyperlink"/>
    <w:uiPriority w:val="99"/>
    <w:unhideWhenUsed/>
    <w:rPr>
      <w:color w:val="0000ff" w:themeColor="hyperlink"/>
      <w:u w:val="single"/>
    </w:rPr>
  </w:style>
  <w:style w:type="paragraph" w:styleId="795">
    <w:name w:val="footnote text"/>
    <w:basedOn w:val="812"/>
    <w:link w:val="796"/>
    <w:uiPriority w:val="99"/>
    <w:semiHidden/>
    <w:unhideWhenUsed/>
    <w:pPr>
      <w:spacing w:after="40" w:line="240" w:lineRule="auto"/>
    </w:pPr>
    <w:rPr>
      <w:sz w:val="18"/>
    </w:rPr>
  </w:style>
  <w:style w:type="character" w:styleId="796">
    <w:name w:val="Footnote Text Char"/>
    <w:link w:val="795"/>
    <w:uiPriority w:val="99"/>
    <w:rPr>
      <w:sz w:val="18"/>
    </w:rPr>
  </w:style>
  <w:style w:type="character" w:styleId="797">
    <w:name w:val="footnote reference"/>
    <w:uiPriority w:val="99"/>
    <w:unhideWhenUsed/>
    <w:rPr>
      <w:vertAlign w:val="superscript"/>
    </w:rPr>
  </w:style>
  <w:style w:type="paragraph" w:styleId="798">
    <w:name w:val="endnote text"/>
    <w:basedOn w:val="812"/>
    <w:link w:val="799"/>
    <w:uiPriority w:val="99"/>
    <w:semiHidden/>
    <w:unhideWhenUsed/>
    <w:pPr>
      <w:spacing w:after="0" w:line="240" w:lineRule="auto"/>
    </w:pPr>
    <w:rPr>
      <w:sz w:val="20"/>
    </w:rPr>
  </w:style>
  <w:style w:type="character" w:styleId="799">
    <w:name w:val="Endnote Text Char"/>
    <w:link w:val="798"/>
    <w:uiPriority w:val="99"/>
    <w:rPr>
      <w:sz w:val="20"/>
    </w:rPr>
  </w:style>
  <w:style w:type="character" w:styleId="800">
    <w:name w:val="endnote reference"/>
    <w:uiPriority w:val="99"/>
    <w:semiHidden/>
    <w:unhideWhenUsed/>
    <w:rPr>
      <w:vertAlign w:val="superscript"/>
    </w:rPr>
  </w:style>
  <w:style w:type="paragraph" w:styleId="801">
    <w:name w:val="toc 1"/>
    <w:basedOn w:val="812"/>
    <w:next w:val="812"/>
    <w:uiPriority w:val="39"/>
    <w:unhideWhenUsed/>
    <w:pPr>
      <w:ind w:left="0" w:right="0" w:firstLine="0"/>
      <w:spacing w:after="57"/>
    </w:pPr>
  </w:style>
  <w:style w:type="paragraph" w:styleId="802">
    <w:name w:val="toc 2"/>
    <w:basedOn w:val="812"/>
    <w:next w:val="812"/>
    <w:uiPriority w:val="39"/>
    <w:unhideWhenUsed/>
    <w:pPr>
      <w:ind w:left="283" w:right="0" w:firstLine="0"/>
      <w:spacing w:after="57"/>
    </w:pPr>
  </w:style>
  <w:style w:type="paragraph" w:styleId="803">
    <w:name w:val="toc 3"/>
    <w:basedOn w:val="812"/>
    <w:next w:val="812"/>
    <w:uiPriority w:val="39"/>
    <w:unhideWhenUsed/>
    <w:pPr>
      <w:ind w:left="567" w:right="0" w:firstLine="0"/>
      <w:spacing w:after="57"/>
    </w:pPr>
  </w:style>
  <w:style w:type="paragraph" w:styleId="804">
    <w:name w:val="toc 4"/>
    <w:basedOn w:val="812"/>
    <w:next w:val="812"/>
    <w:uiPriority w:val="39"/>
    <w:unhideWhenUsed/>
    <w:pPr>
      <w:ind w:left="850" w:right="0" w:firstLine="0"/>
      <w:spacing w:after="57"/>
    </w:pPr>
  </w:style>
  <w:style w:type="paragraph" w:styleId="805">
    <w:name w:val="toc 5"/>
    <w:basedOn w:val="812"/>
    <w:next w:val="812"/>
    <w:uiPriority w:val="39"/>
    <w:unhideWhenUsed/>
    <w:pPr>
      <w:ind w:left="1134" w:right="0" w:firstLine="0"/>
      <w:spacing w:after="57"/>
    </w:pPr>
  </w:style>
  <w:style w:type="paragraph" w:styleId="806">
    <w:name w:val="toc 6"/>
    <w:basedOn w:val="812"/>
    <w:next w:val="812"/>
    <w:uiPriority w:val="39"/>
    <w:unhideWhenUsed/>
    <w:pPr>
      <w:ind w:left="1417" w:right="0" w:firstLine="0"/>
      <w:spacing w:after="57"/>
    </w:pPr>
  </w:style>
  <w:style w:type="paragraph" w:styleId="807">
    <w:name w:val="toc 7"/>
    <w:basedOn w:val="812"/>
    <w:next w:val="812"/>
    <w:uiPriority w:val="39"/>
    <w:unhideWhenUsed/>
    <w:pPr>
      <w:ind w:left="1701" w:right="0" w:firstLine="0"/>
      <w:spacing w:after="57"/>
    </w:pPr>
  </w:style>
  <w:style w:type="paragraph" w:styleId="808">
    <w:name w:val="toc 8"/>
    <w:basedOn w:val="812"/>
    <w:next w:val="812"/>
    <w:uiPriority w:val="39"/>
    <w:unhideWhenUsed/>
    <w:pPr>
      <w:ind w:left="1984" w:right="0" w:firstLine="0"/>
      <w:spacing w:after="57"/>
    </w:pPr>
  </w:style>
  <w:style w:type="paragraph" w:styleId="809">
    <w:name w:val="toc 9"/>
    <w:basedOn w:val="812"/>
    <w:next w:val="812"/>
    <w:uiPriority w:val="39"/>
    <w:unhideWhenUsed/>
    <w:pPr>
      <w:ind w:left="2268" w:right="0" w:firstLine="0"/>
      <w:spacing w:after="57"/>
    </w:pPr>
  </w:style>
  <w:style w:type="paragraph" w:styleId="810">
    <w:name w:val="TOC Heading"/>
    <w:uiPriority w:val="39"/>
    <w:unhideWhenUsed/>
  </w:style>
  <w:style w:type="paragraph" w:styleId="811">
    <w:name w:val="table of figures"/>
    <w:basedOn w:val="812"/>
    <w:next w:val="812"/>
    <w:uiPriority w:val="99"/>
    <w:unhideWhenUsed/>
    <w:pPr>
      <w:spacing w:after="0" w:afterAutospacing="0"/>
    </w:pPr>
  </w:style>
  <w:style w:type="paragraph" w:styleId="812" w:default="1">
    <w:name w:val="Normal"/>
    <w:next w:val="812"/>
    <w:link w:val="812"/>
    <w:qFormat/>
    <w:rPr>
      <w:lang w:val="ru-RU" w:eastAsia="ru-RU" w:bidi="ar-SA"/>
    </w:rPr>
  </w:style>
  <w:style w:type="paragraph" w:styleId="813">
    <w:name w:val="Заголовок 1"/>
    <w:basedOn w:val="812"/>
    <w:next w:val="812"/>
    <w:link w:val="812"/>
    <w:qFormat/>
    <w:pPr>
      <w:keepNext/>
      <w:outlineLvl w:val="0"/>
    </w:pPr>
    <w:rPr>
      <w:b/>
      <w:bCs/>
      <w:sz w:val="28"/>
    </w:rPr>
  </w:style>
  <w:style w:type="paragraph" w:styleId="814">
    <w:name w:val="Заголовок 2"/>
    <w:basedOn w:val="812"/>
    <w:next w:val="812"/>
    <w:link w:val="812"/>
    <w:qFormat/>
    <w:pPr>
      <w:jc w:val="center"/>
      <w:keepNext/>
      <w:outlineLvl w:val="1"/>
    </w:pPr>
    <w:rPr>
      <w:b/>
      <w:bCs/>
      <w:sz w:val="28"/>
    </w:rPr>
  </w:style>
  <w:style w:type="character" w:styleId="815">
    <w:name w:val="Основной шрифт абзаца"/>
    <w:next w:val="815"/>
    <w:link w:val="812"/>
    <w:semiHidden/>
  </w:style>
  <w:style w:type="table" w:styleId="816">
    <w:name w:val="Обычная таблица"/>
    <w:next w:val="816"/>
    <w:link w:val="812"/>
    <w:semiHidden/>
    <w:tblPr/>
  </w:style>
  <w:style w:type="numbering" w:styleId="817">
    <w:name w:val="Нет списка"/>
    <w:next w:val="817"/>
    <w:link w:val="812"/>
    <w:semiHidden/>
  </w:style>
  <w:style w:type="paragraph" w:styleId="818">
    <w:name w:val="Основной текст"/>
    <w:basedOn w:val="812"/>
    <w:next w:val="818"/>
    <w:link w:val="812"/>
    <w:pPr>
      <w:jc w:val="both"/>
      <w:spacing w:line="240" w:lineRule="exact"/>
    </w:pPr>
    <w:rPr>
      <w:sz w:val="28"/>
    </w:rPr>
  </w:style>
  <w:style w:type="paragraph" w:styleId="819">
    <w:name w:val="Текст выноски"/>
    <w:basedOn w:val="812"/>
    <w:next w:val="819"/>
    <w:link w:val="812"/>
    <w:semiHidden/>
    <w:rPr>
      <w:rFonts w:ascii="Tahoma" w:hAnsi="Tahoma" w:cs="Tahoma"/>
      <w:sz w:val="16"/>
      <w:szCs w:val="16"/>
    </w:rPr>
  </w:style>
  <w:style w:type="character" w:styleId="820" w:default="1">
    <w:name w:val="Default Paragraph Font"/>
    <w:uiPriority w:val="1"/>
    <w:semiHidden/>
    <w:unhideWhenUsed/>
  </w:style>
  <w:style w:type="numbering" w:styleId="821" w:default="1">
    <w:name w:val="No List"/>
    <w:uiPriority w:val="99"/>
    <w:semiHidden/>
    <w:unhideWhenUsed/>
  </w:style>
  <w:style w:type="table" w:styleId="82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R7-Office/7.2.1.14</Application>
  <Company>министерство финансов Ставропольского края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Структура</dc:title>
  <dc:creator>Филиппович Марина Николаевна</dc:creator>
  <cp:lastModifiedBy>Инна Малхазовна Кудзиева</cp:lastModifiedBy>
  <cp:revision>73</cp:revision>
  <dcterms:created xsi:type="dcterms:W3CDTF">2016-03-18T12:33:00Z</dcterms:created>
  <dcterms:modified xsi:type="dcterms:W3CDTF">2026-04-14T07:50:57Z</dcterms:modified>
  <cp:version>786432</cp:version>
</cp:coreProperties>
</file>